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"/>
        <w:gridCol w:w="518"/>
        <w:gridCol w:w="4529"/>
        <w:gridCol w:w="4530"/>
      </w:tblGrid>
      <w:tr w:rsidR="0027781A" w:rsidRPr="005F7FF6" w:rsidTr="00E77D98">
        <w:tc>
          <w:tcPr>
            <w:tcW w:w="518" w:type="dxa"/>
          </w:tcPr>
          <w:p w:rsidR="0027781A" w:rsidRPr="005F7FF6" w:rsidRDefault="0027781A" w:rsidP="00A07261">
            <w:pPr>
              <w:rPr>
                <w:b/>
              </w:rPr>
            </w:pPr>
          </w:p>
        </w:tc>
        <w:tc>
          <w:tcPr>
            <w:tcW w:w="518" w:type="dxa"/>
          </w:tcPr>
          <w:p w:rsidR="0027781A" w:rsidRPr="005F7FF6" w:rsidRDefault="0027781A" w:rsidP="00A07261">
            <w:pPr>
              <w:rPr>
                <w:b/>
              </w:rPr>
            </w:pPr>
          </w:p>
        </w:tc>
        <w:tc>
          <w:tcPr>
            <w:tcW w:w="4529" w:type="dxa"/>
          </w:tcPr>
          <w:p w:rsidR="0027781A" w:rsidRPr="005F7FF6" w:rsidRDefault="00B828AF" w:rsidP="00A07261">
            <w:pPr>
              <w:rPr>
                <w:b/>
              </w:rPr>
            </w:pPr>
            <w:r w:rsidRPr="005F7FF6">
              <w:rPr>
                <w:b/>
              </w:rPr>
              <w:t>Część  I</w:t>
            </w:r>
            <w:r w:rsidR="0027781A" w:rsidRPr="005F7FF6">
              <w:rPr>
                <w:b/>
              </w:rPr>
              <w:t xml:space="preserve">I.  </w:t>
            </w:r>
          </w:p>
        </w:tc>
        <w:tc>
          <w:tcPr>
            <w:tcW w:w="4530" w:type="dxa"/>
          </w:tcPr>
          <w:p w:rsidR="0027781A" w:rsidRPr="005F7FF6" w:rsidRDefault="00B828AF" w:rsidP="00A07261">
            <w:pPr>
              <w:rPr>
                <w:b/>
                <w:i/>
              </w:rPr>
            </w:pPr>
            <w:r w:rsidRPr="005F7FF6">
              <w:rPr>
                <w:b/>
                <w:i/>
              </w:rPr>
              <w:t>Part  I</w:t>
            </w:r>
            <w:r w:rsidR="0027781A" w:rsidRPr="005F7FF6">
              <w:rPr>
                <w:b/>
                <w:i/>
              </w:rPr>
              <w:t xml:space="preserve">I. </w:t>
            </w:r>
          </w:p>
        </w:tc>
      </w:tr>
      <w:tr w:rsidR="00B828AF" w:rsidTr="00E77D98">
        <w:tc>
          <w:tcPr>
            <w:tcW w:w="518" w:type="dxa"/>
          </w:tcPr>
          <w:p w:rsidR="00B828AF" w:rsidRPr="009B7993" w:rsidRDefault="00B828AF" w:rsidP="00B828AF"/>
        </w:tc>
        <w:tc>
          <w:tcPr>
            <w:tcW w:w="518" w:type="dxa"/>
          </w:tcPr>
          <w:p w:rsidR="00B828AF" w:rsidRPr="009B7993" w:rsidRDefault="00B828AF" w:rsidP="00B828AF"/>
        </w:tc>
        <w:tc>
          <w:tcPr>
            <w:tcW w:w="4529" w:type="dxa"/>
          </w:tcPr>
          <w:p w:rsidR="00B828AF" w:rsidRPr="005F7FF6" w:rsidRDefault="00B828AF" w:rsidP="00B828AF">
            <w:pPr>
              <w:pStyle w:val="Pa0"/>
              <w:rPr>
                <w:rFonts w:ascii="Arial" w:hAnsi="Arial" w:cs="Arial"/>
                <w:b/>
                <w:color w:val="221E1F"/>
                <w:sz w:val="20"/>
                <w:szCs w:val="20"/>
              </w:rPr>
            </w:pPr>
            <w:r w:rsidRPr="005F7FF6">
              <w:rPr>
                <w:rStyle w:val="A5"/>
                <w:rFonts w:ascii="Arial" w:hAnsi="Arial" w:cs="Arial"/>
                <w:b/>
                <w:sz w:val="20"/>
                <w:szCs w:val="20"/>
              </w:rPr>
              <w:t>UNIA EUROPEJSKA – WYBRANE WSKAŹNIKI</w:t>
            </w:r>
          </w:p>
        </w:tc>
        <w:tc>
          <w:tcPr>
            <w:tcW w:w="4530" w:type="dxa"/>
          </w:tcPr>
          <w:p w:rsidR="00B828AF" w:rsidRPr="005F7FF6" w:rsidRDefault="00B828AF" w:rsidP="00B828AF">
            <w:pPr>
              <w:pStyle w:val="Pa0"/>
              <w:rPr>
                <w:rFonts w:ascii="Arial" w:hAnsi="Arial" w:cs="Arial"/>
                <w:b/>
                <w:i/>
                <w:color w:val="221E1F"/>
                <w:sz w:val="20"/>
                <w:szCs w:val="20"/>
              </w:rPr>
            </w:pPr>
            <w:r w:rsidRPr="005F7FF6">
              <w:rPr>
                <w:rStyle w:val="A5"/>
                <w:rFonts w:ascii="Arial" w:hAnsi="Arial" w:cs="Arial"/>
                <w:b/>
                <w:i/>
                <w:iCs/>
                <w:sz w:val="20"/>
                <w:szCs w:val="20"/>
              </w:rPr>
              <w:t>EUROPEAN UNION – SELECTED INDICATORS</w:t>
            </w:r>
          </w:p>
        </w:tc>
      </w:tr>
      <w:tr w:rsidR="0027781A" w:rsidTr="00E77D98">
        <w:tc>
          <w:tcPr>
            <w:tcW w:w="518" w:type="dxa"/>
          </w:tcPr>
          <w:p w:rsidR="0027781A" w:rsidRPr="009B7993" w:rsidRDefault="0027781A" w:rsidP="00A07261"/>
        </w:tc>
        <w:tc>
          <w:tcPr>
            <w:tcW w:w="518" w:type="dxa"/>
          </w:tcPr>
          <w:p w:rsidR="0027781A" w:rsidRPr="009B7993" w:rsidRDefault="0027781A" w:rsidP="00A07261"/>
        </w:tc>
        <w:tc>
          <w:tcPr>
            <w:tcW w:w="4529" w:type="dxa"/>
          </w:tcPr>
          <w:p w:rsidR="0027781A" w:rsidRPr="009B7993" w:rsidRDefault="0027781A" w:rsidP="00A07261"/>
        </w:tc>
        <w:tc>
          <w:tcPr>
            <w:tcW w:w="4530" w:type="dxa"/>
          </w:tcPr>
          <w:p w:rsidR="0027781A" w:rsidRPr="00A07261" w:rsidRDefault="0027781A" w:rsidP="00A07261">
            <w:pPr>
              <w:rPr>
                <w:i/>
              </w:rPr>
            </w:pPr>
          </w:p>
        </w:tc>
      </w:tr>
      <w:tr w:rsidR="00B828AF" w:rsidRPr="0027781A" w:rsidTr="00E77D98">
        <w:trPr>
          <w:trHeight w:val="397"/>
        </w:trPr>
        <w:tc>
          <w:tcPr>
            <w:tcW w:w="518" w:type="dxa"/>
            <w:vAlign w:val="bottom"/>
          </w:tcPr>
          <w:p w:rsidR="00B828AF" w:rsidRPr="009B7993" w:rsidRDefault="00B828AF" w:rsidP="00E77D98">
            <w:pPr>
              <w:jc w:val="right"/>
            </w:pPr>
            <w:r w:rsidRPr="009B7993">
              <w:t>II.</w:t>
            </w:r>
          </w:p>
        </w:tc>
        <w:tc>
          <w:tcPr>
            <w:tcW w:w="518" w:type="dxa"/>
            <w:vAlign w:val="bottom"/>
          </w:tcPr>
          <w:p w:rsidR="00B828AF" w:rsidRPr="009B7993" w:rsidRDefault="00B828AF" w:rsidP="00E77D98">
            <w:pPr>
              <w:jc w:val="right"/>
            </w:pPr>
            <w:r w:rsidRPr="009B7993">
              <w:t>1.</w:t>
            </w:r>
          </w:p>
        </w:tc>
        <w:tc>
          <w:tcPr>
            <w:tcW w:w="4529" w:type="dxa"/>
            <w:vAlign w:val="bottom"/>
          </w:tcPr>
          <w:p w:rsidR="00B828AF" w:rsidRPr="001318E3" w:rsidRDefault="00B828AF" w:rsidP="005F7FF6">
            <w:pPr>
              <w:pStyle w:val="Pa0"/>
              <w:ind w:left="170" w:hanging="170"/>
              <w:rPr>
                <w:rFonts w:ascii="Arial" w:hAnsi="Arial" w:cs="Arial"/>
                <w:color w:val="221E1F"/>
                <w:sz w:val="20"/>
                <w:szCs w:val="20"/>
              </w:rPr>
            </w:pP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Główne wskaźniki Strategii Europa 2020</w:t>
            </w:r>
          </w:p>
        </w:tc>
        <w:tc>
          <w:tcPr>
            <w:tcW w:w="4530" w:type="dxa"/>
            <w:vAlign w:val="bottom"/>
          </w:tcPr>
          <w:p w:rsidR="00B828AF" w:rsidRPr="005B20A2" w:rsidRDefault="00B828AF" w:rsidP="005F7FF6">
            <w:pPr>
              <w:pStyle w:val="Pa0"/>
              <w:ind w:left="170" w:hanging="170"/>
              <w:rPr>
                <w:rFonts w:ascii="Arial" w:hAnsi="Arial" w:cs="Arial"/>
                <w:i/>
                <w:color w:val="221E1F"/>
                <w:sz w:val="20"/>
                <w:szCs w:val="20"/>
              </w:rPr>
            </w:pP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Europe 2020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Strategy</w:t>
            </w:r>
            <w:proofErr w:type="spellEnd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headline</w:t>
            </w:r>
            <w:proofErr w:type="spellEnd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</w:rPr>
              <w:t>indicators</w:t>
            </w:r>
            <w:proofErr w:type="spellEnd"/>
          </w:p>
        </w:tc>
      </w:tr>
      <w:tr w:rsidR="00B828AF" w:rsidRPr="005F7FF6" w:rsidTr="00E77D98">
        <w:trPr>
          <w:trHeight w:val="397"/>
        </w:trPr>
        <w:tc>
          <w:tcPr>
            <w:tcW w:w="518" w:type="dxa"/>
            <w:vAlign w:val="bottom"/>
          </w:tcPr>
          <w:p w:rsidR="00B828AF" w:rsidRPr="009B7993" w:rsidRDefault="00B828AF" w:rsidP="00E77D98">
            <w:pPr>
              <w:jc w:val="right"/>
            </w:pPr>
            <w:r w:rsidRPr="009B7993">
              <w:t>II.</w:t>
            </w:r>
          </w:p>
        </w:tc>
        <w:tc>
          <w:tcPr>
            <w:tcW w:w="518" w:type="dxa"/>
            <w:vAlign w:val="bottom"/>
          </w:tcPr>
          <w:p w:rsidR="00B828AF" w:rsidRPr="009B7993" w:rsidRDefault="00B828AF" w:rsidP="00E77D98">
            <w:pPr>
              <w:jc w:val="right"/>
            </w:pPr>
            <w:r w:rsidRPr="009B7993">
              <w:t>2.</w:t>
            </w:r>
          </w:p>
        </w:tc>
        <w:tc>
          <w:tcPr>
            <w:tcW w:w="4529" w:type="dxa"/>
            <w:vAlign w:val="bottom"/>
          </w:tcPr>
          <w:p w:rsidR="00E77D98" w:rsidRDefault="00E77D98" w:rsidP="005F7FF6">
            <w:pPr>
              <w:pStyle w:val="Pa0"/>
              <w:ind w:left="170" w:hanging="170"/>
              <w:rPr>
                <w:rStyle w:val="A5"/>
                <w:rFonts w:ascii="Arial" w:hAnsi="Arial" w:cs="Arial"/>
                <w:sz w:val="20"/>
                <w:szCs w:val="20"/>
              </w:rPr>
            </w:pPr>
          </w:p>
          <w:p w:rsidR="00B828AF" w:rsidRPr="001318E3" w:rsidRDefault="00B828AF" w:rsidP="005F7FF6">
            <w:pPr>
              <w:pStyle w:val="Pa0"/>
              <w:ind w:left="170" w:hanging="170"/>
              <w:rPr>
                <w:rFonts w:ascii="Arial" w:hAnsi="Arial" w:cs="Arial"/>
                <w:color w:val="221E1F"/>
                <w:sz w:val="20"/>
                <w:szCs w:val="20"/>
              </w:rPr>
            </w:pP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Wskaźniki procedury nierównowagi makroekonomicznej oraz procedury</w:t>
            </w:r>
            <w:r>
              <w:rPr>
                <w:rStyle w:val="A5"/>
                <w:rFonts w:ascii="Arial" w:hAnsi="Arial" w:cs="Arial"/>
                <w:sz w:val="20"/>
                <w:szCs w:val="20"/>
              </w:rPr>
              <w:t xml:space="preserve"> </w:t>
            </w:r>
            <w:r w:rsidRPr="001318E3">
              <w:rPr>
                <w:rStyle w:val="A5"/>
                <w:rFonts w:ascii="Arial" w:hAnsi="Arial" w:cs="Arial"/>
                <w:sz w:val="20"/>
                <w:szCs w:val="20"/>
              </w:rPr>
              <w:t>nadmiernego deficytu</w:t>
            </w:r>
          </w:p>
        </w:tc>
        <w:tc>
          <w:tcPr>
            <w:tcW w:w="4530" w:type="dxa"/>
            <w:vAlign w:val="bottom"/>
          </w:tcPr>
          <w:p w:rsidR="00B828AF" w:rsidRPr="005B20A2" w:rsidRDefault="00B828AF" w:rsidP="005F7FF6">
            <w:pPr>
              <w:pStyle w:val="Pa0"/>
              <w:ind w:left="170" w:hanging="170"/>
              <w:rPr>
                <w:rFonts w:ascii="Arial" w:hAnsi="Arial" w:cs="Arial"/>
                <w:i/>
                <w:color w:val="221E1F"/>
                <w:sz w:val="20"/>
                <w:szCs w:val="20"/>
                <w:lang w:val="en-US"/>
              </w:rPr>
            </w:pP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>Macroeconomic imbalances procedure and the</w:t>
            </w:r>
            <w:r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5B20A2">
              <w:rPr>
                <w:rStyle w:val="A5"/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excessive deficit procedure indicators </w:t>
            </w:r>
          </w:p>
        </w:tc>
      </w:tr>
    </w:tbl>
    <w:p w:rsidR="00F777F7" w:rsidRPr="00B828AF" w:rsidRDefault="00F777F7" w:rsidP="005F7FF6">
      <w:pPr>
        <w:rPr>
          <w:lang w:val="en-US"/>
        </w:rPr>
      </w:pPr>
      <w:bookmarkStart w:id="0" w:name="_GoBack"/>
      <w:bookmarkEnd w:id="0"/>
    </w:p>
    <w:sectPr w:rsidR="00F777F7" w:rsidRPr="00B828AF" w:rsidSect="005F7FF6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logger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27781A"/>
    <w:rsid w:val="005F7FF6"/>
    <w:rsid w:val="00992F58"/>
    <w:rsid w:val="00A07261"/>
    <w:rsid w:val="00B828AF"/>
    <w:rsid w:val="00E77D98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B828AF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  <w:style w:type="character" w:customStyle="1" w:styleId="A5">
    <w:name w:val="A5"/>
    <w:uiPriority w:val="99"/>
    <w:rsid w:val="00B828AF"/>
    <w:rPr>
      <w:color w:val="221E1F"/>
      <w:sz w:val="16"/>
    </w:rPr>
  </w:style>
  <w:style w:type="paragraph" w:customStyle="1" w:styleId="Pa13">
    <w:name w:val="Pa13"/>
    <w:basedOn w:val="Normalny"/>
    <w:next w:val="Normalny"/>
    <w:uiPriority w:val="99"/>
    <w:rsid w:val="00B828AF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Gustyn Justyna</cp:lastModifiedBy>
  <cp:revision>6</cp:revision>
  <dcterms:created xsi:type="dcterms:W3CDTF">2015-10-28T13:59:00Z</dcterms:created>
  <dcterms:modified xsi:type="dcterms:W3CDTF">2016-12-21T07:20:00Z</dcterms:modified>
</cp:coreProperties>
</file>